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739" w:rsidRPr="003C7120" w:rsidRDefault="00170739" w:rsidP="00170739">
      <w:pPr>
        <w:rPr>
          <w:b/>
        </w:rPr>
      </w:pPr>
      <w:r w:rsidRPr="003C7120">
        <w:rPr>
          <w:b/>
        </w:rPr>
        <w:t>WG</w:t>
      </w:r>
      <w:r w:rsidR="00FD19D7" w:rsidRPr="003C7120">
        <w:rPr>
          <w:b/>
        </w:rPr>
        <w:t>2 'Coastal settlements'</w:t>
      </w:r>
      <w:r w:rsidRPr="003C7120">
        <w:rPr>
          <w:b/>
        </w:rPr>
        <w:t xml:space="preserve"> reporting</w:t>
      </w:r>
      <w:r w:rsidR="00313C63" w:rsidRPr="003C7120">
        <w:rPr>
          <w:b/>
        </w:rPr>
        <w:t xml:space="preserve"> May 2016 - April 2017</w:t>
      </w:r>
    </w:p>
    <w:p w:rsidR="00170739" w:rsidRDefault="00170739" w:rsidP="00A43B7A">
      <w:pPr>
        <w:pStyle w:val="ListParagraph"/>
        <w:numPr>
          <w:ilvl w:val="0"/>
          <w:numId w:val="3"/>
        </w:numPr>
      </w:pPr>
      <w:bookmarkStart w:id="0" w:name="_GoBack"/>
      <w:bookmarkEnd w:id="0"/>
      <w:r>
        <w:t>Number of WG members</w:t>
      </w:r>
      <w:r w:rsidR="00A25352">
        <w:t xml:space="preserve">: </w:t>
      </w:r>
      <w:r w:rsidR="00A27C5B">
        <w:t>68 members of which 18 are active members</w:t>
      </w:r>
    </w:p>
    <w:p w:rsidR="00170739" w:rsidRDefault="00170739" w:rsidP="00A43B7A">
      <w:pPr>
        <w:pStyle w:val="ListParagraph"/>
        <w:numPr>
          <w:ilvl w:val="0"/>
          <w:numId w:val="3"/>
        </w:numPr>
      </w:pPr>
      <w:r>
        <w:t>Gender</w:t>
      </w:r>
      <w:r w:rsidR="005D7921">
        <w:t xml:space="preserve"> </w:t>
      </w:r>
      <w:r>
        <w:t>balance</w:t>
      </w:r>
      <w:r w:rsidR="00A27C5B">
        <w:t xml:space="preserve">: </w:t>
      </w:r>
      <w:r w:rsidR="002A5580">
        <w:t>33 females and 35 males</w:t>
      </w:r>
      <w:r w:rsidR="009A5B8D">
        <w:t xml:space="preserve"> (48.5 % / 51.5 %)</w:t>
      </w:r>
      <w:r w:rsidR="002A5580">
        <w:t>; 11 females and 7 males</w:t>
      </w:r>
      <w:r w:rsidR="009A5B8D">
        <w:t xml:space="preserve"> (61.1 % / 38.9%)</w:t>
      </w:r>
      <w:r w:rsidR="002A5580">
        <w:t xml:space="preserve"> are in active group</w:t>
      </w:r>
    </w:p>
    <w:p w:rsidR="00170739" w:rsidRPr="0068609F" w:rsidRDefault="00170739" w:rsidP="00A43B7A">
      <w:pPr>
        <w:pStyle w:val="ListParagraph"/>
        <w:numPr>
          <w:ilvl w:val="0"/>
          <w:numId w:val="3"/>
        </w:numPr>
      </w:pPr>
      <w:r>
        <w:t>COST Member</w:t>
      </w:r>
      <w:r w:rsidR="005D7921">
        <w:t xml:space="preserve"> </w:t>
      </w:r>
      <w:r>
        <w:t>Countries</w:t>
      </w:r>
      <w:r w:rsidR="002A5580">
        <w:t xml:space="preserve">: </w:t>
      </w:r>
      <w:r w:rsidR="009A5B8D" w:rsidRPr="0068609F">
        <w:rPr>
          <w:rFonts w:cs="Arial"/>
          <w:color w:val="000000"/>
          <w:shd w:val="clear" w:color="auto" w:fill="FFFFFF"/>
        </w:rPr>
        <w:t>Belgium, Denmark, Estonia, Finland, France, Germany, Greece, Iceland, Ireland, Italy, Norway, Poland, Portugal, Spain, Turkey, United Kingdom.</w:t>
      </w:r>
    </w:p>
    <w:p w:rsidR="00170739" w:rsidRDefault="00170739" w:rsidP="00A43B7A">
      <w:pPr>
        <w:pStyle w:val="ListParagraph"/>
        <w:numPr>
          <w:ilvl w:val="0"/>
          <w:numId w:val="3"/>
        </w:numPr>
      </w:pPr>
      <w:r>
        <w:t>Affiliated</w:t>
      </w:r>
      <w:r w:rsidR="005D7921">
        <w:t xml:space="preserve"> </w:t>
      </w:r>
      <w:r>
        <w:t>countries</w:t>
      </w:r>
      <w:r w:rsidR="0068609F">
        <w:t>: -</w:t>
      </w:r>
    </w:p>
    <w:p w:rsidR="00170739" w:rsidRDefault="00170739" w:rsidP="00A43B7A">
      <w:pPr>
        <w:pStyle w:val="ListParagraph"/>
        <w:numPr>
          <w:ilvl w:val="0"/>
          <w:numId w:val="3"/>
        </w:numPr>
      </w:pPr>
      <w:r>
        <w:t>Specific</w:t>
      </w:r>
      <w:r w:rsidR="005D7921">
        <w:t xml:space="preserve"> </w:t>
      </w:r>
      <w:r>
        <w:t>interests (sci. discipline) of WG members</w:t>
      </w:r>
      <w:r w:rsidR="002A5580">
        <w:t xml:space="preserve">: archaeology, history, zooarchaeology, ichthyoarchaeology, environmental archaeology, environmental history, (palaeo-)ecology, marine sciences, submarine archaeology, ethnography, </w:t>
      </w:r>
      <w:r w:rsidR="00006787">
        <w:t xml:space="preserve">data management, </w:t>
      </w:r>
      <w:r w:rsidR="002A5580">
        <w:t>etc.</w:t>
      </w:r>
    </w:p>
    <w:p w:rsidR="00170739" w:rsidRDefault="00170739" w:rsidP="00A43B7A">
      <w:pPr>
        <w:pStyle w:val="ListParagraph"/>
        <w:numPr>
          <w:ilvl w:val="0"/>
          <w:numId w:val="3"/>
        </w:numPr>
      </w:pPr>
      <w:r>
        <w:t>Number of early-career</w:t>
      </w:r>
      <w:r w:rsidR="005D7921">
        <w:t xml:space="preserve"> </w:t>
      </w:r>
      <w:r>
        <w:t>scientists</w:t>
      </w:r>
      <w:r w:rsidR="00A27C5B">
        <w:t>: 12</w:t>
      </w:r>
    </w:p>
    <w:p w:rsidR="00170739" w:rsidRDefault="00170739" w:rsidP="00A43B7A">
      <w:pPr>
        <w:pStyle w:val="ListParagraph"/>
        <w:numPr>
          <w:ilvl w:val="0"/>
          <w:numId w:val="3"/>
        </w:numPr>
      </w:pPr>
      <w:r>
        <w:t>Cross-relation</w:t>
      </w:r>
      <w:r w:rsidR="005D7921">
        <w:t xml:space="preserve"> </w:t>
      </w:r>
      <w:r>
        <w:t>between</w:t>
      </w:r>
      <w:r w:rsidR="005D7921">
        <w:t xml:space="preserve"> </w:t>
      </w:r>
      <w:r>
        <w:t>WG’s</w:t>
      </w:r>
      <w:r w:rsidR="002A5580">
        <w:t xml:space="preserve">: </w:t>
      </w:r>
      <w:r w:rsidR="0068609F">
        <w:t>we share members with the WG4 (Anne-Karin Hufthamm</w:t>
      </w:r>
      <w:r w:rsidR="00FC403C">
        <w:t>er, Amelia Polonia, Ana Garcia); WG2 and WG4 are exchanging data for metadatabase.</w:t>
      </w:r>
    </w:p>
    <w:p w:rsidR="00170739" w:rsidRDefault="00170739" w:rsidP="00A43B7A">
      <w:pPr>
        <w:pStyle w:val="ListParagraph"/>
        <w:numPr>
          <w:ilvl w:val="0"/>
          <w:numId w:val="3"/>
        </w:numPr>
      </w:pPr>
      <w:r>
        <w:t>STSM’s (scientist’s</w:t>
      </w:r>
      <w:r w:rsidR="005D7921">
        <w:t xml:space="preserve"> </w:t>
      </w:r>
      <w:r>
        <w:t>name, subject, host institution, timing of STSM)</w:t>
      </w:r>
    </w:p>
    <w:p w:rsidR="00075331" w:rsidRDefault="00075331" w:rsidP="009F1598">
      <w:pPr>
        <w:pStyle w:val="ListParagraph"/>
        <w:ind w:left="1068"/>
        <w:rPr>
          <w:color w:val="2F5496" w:themeColor="accent1" w:themeShade="BF"/>
        </w:rPr>
      </w:pPr>
    </w:p>
    <w:p w:rsidR="00075331" w:rsidRDefault="00075331" w:rsidP="00A43B7A">
      <w:pPr>
        <w:pStyle w:val="ListParagraph"/>
        <w:numPr>
          <w:ilvl w:val="1"/>
          <w:numId w:val="3"/>
        </w:numPr>
        <w:rPr>
          <w:rFonts w:ascii="Arial" w:hAnsi="Arial" w:cs="Arial"/>
          <w:sz w:val="18"/>
          <w:szCs w:val="18"/>
        </w:rPr>
      </w:pPr>
      <w:r w:rsidRPr="00FD19D7">
        <w:rPr>
          <w:rFonts w:ascii="Arial" w:hAnsi="Arial" w:cs="Arial"/>
          <w:b/>
          <w:sz w:val="18"/>
          <w:szCs w:val="18"/>
        </w:rPr>
        <w:t>Dr Dara Fleming-Farrell</w:t>
      </w:r>
      <w:r>
        <w:rPr>
          <w:rFonts w:ascii="Arial" w:hAnsi="Arial" w:cs="Arial"/>
          <w:sz w:val="18"/>
          <w:szCs w:val="18"/>
        </w:rPr>
        <w:t xml:space="preserve">, Trinity College Dublin (IE) - to Ramona Harrison, University of Bergen (NO), </w:t>
      </w:r>
      <w:r w:rsidRPr="00FD19D7">
        <w:rPr>
          <w:rFonts w:ascii="Arial" w:hAnsi="Arial" w:cs="Arial"/>
          <w:sz w:val="18"/>
          <w:szCs w:val="18"/>
        </w:rPr>
        <w:t xml:space="preserve">North </w:t>
      </w:r>
      <w:r w:rsidRPr="00FD19D7">
        <w:rPr>
          <w:rFonts w:ascii="Arial" w:hAnsi="Arial" w:cs="Arial"/>
          <w:b/>
          <w:sz w:val="18"/>
          <w:szCs w:val="18"/>
        </w:rPr>
        <w:t>Atlantic Settlement Dynamics</w:t>
      </w:r>
      <w:r w:rsidRPr="00FD19D7">
        <w:rPr>
          <w:rFonts w:ascii="Arial" w:hAnsi="Arial" w:cs="Arial"/>
          <w:sz w:val="18"/>
          <w:szCs w:val="18"/>
        </w:rPr>
        <w:t>, 2016-12-11 to 2016-12-17</w:t>
      </w:r>
    </w:p>
    <w:p w:rsidR="0096562D" w:rsidRDefault="0096562D" w:rsidP="00F63381">
      <w:pPr>
        <w:pStyle w:val="ListParagraph"/>
        <w:ind w:left="1068"/>
      </w:pPr>
    </w:p>
    <w:p w:rsidR="00FD19D7" w:rsidRDefault="00FD19D7" w:rsidP="00A43B7A">
      <w:pPr>
        <w:pStyle w:val="ListParagraph"/>
        <w:numPr>
          <w:ilvl w:val="1"/>
          <w:numId w:val="3"/>
        </w:numPr>
        <w:rPr>
          <w:rFonts w:ascii="Arial" w:hAnsi="Arial" w:cs="Arial"/>
          <w:sz w:val="18"/>
          <w:szCs w:val="18"/>
        </w:rPr>
      </w:pPr>
      <w:r w:rsidRPr="00FD19D7">
        <w:rPr>
          <w:rFonts w:ascii="Arial" w:hAnsi="Arial" w:cs="Arial"/>
          <w:b/>
          <w:sz w:val="18"/>
          <w:szCs w:val="18"/>
        </w:rPr>
        <w:t>Dr Jacqueline Mulville</w:t>
      </w:r>
      <w:r>
        <w:rPr>
          <w:rFonts w:ascii="Arial" w:hAnsi="Arial" w:cs="Arial"/>
          <w:sz w:val="18"/>
          <w:szCs w:val="18"/>
        </w:rPr>
        <w:t xml:space="preserve">, Cardiff University, Cardiff (UK) - to Guðmundur Guðmundsson, Icelandic Institute of Natural History, Reykjavik (IS), </w:t>
      </w:r>
      <w:r w:rsidRPr="00FD19D7">
        <w:rPr>
          <w:rFonts w:ascii="Arial" w:hAnsi="Arial" w:cs="Arial"/>
          <w:b/>
          <w:sz w:val="18"/>
          <w:szCs w:val="18"/>
        </w:rPr>
        <w:t>Whales and whaling in the North Atlantic; archaeology and identification</w:t>
      </w:r>
      <w:r>
        <w:rPr>
          <w:rFonts w:ascii="Arial" w:hAnsi="Arial" w:cs="Arial"/>
          <w:sz w:val="18"/>
          <w:szCs w:val="18"/>
        </w:rPr>
        <w:t xml:space="preserve">, </w:t>
      </w:r>
      <w:r w:rsidRPr="00F63381">
        <w:rPr>
          <w:rFonts w:ascii="Arial" w:hAnsi="Arial" w:cs="Arial"/>
          <w:sz w:val="18"/>
          <w:szCs w:val="18"/>
        </w:rPr>
        <w:t>2017-03-28 to 2017-04-06</w:t>
      </w:r>
    </w:p>
    <w:p w:rsidR="00FD19D7" w:rsidRDefault="00FD19D7" w:rsidP="00F63381">
      <w:pPr>
        <w:pStyle w:val="ListParagraph"/>
        <w:ind w:left="1068"/>
      </w:pPr>
    </w:p>
    <w:p w:rsidR="00FD19D7" w:rsidRPr="0096562D" w:rsidRDefault="00FD19D7" w:rsidP="00A43B7A">
      <w:pPr>
        <w:pStyle w:val="ListParagraph"/>
        <w:numPr>
          <w:ilvl w:val="1"/>
          <w:numId w:val="3"/>
        </w:numPr>
        <w:rPr>
          <w:rFonts w:ascii="Arial" w:hAnsi="Arial" w:cs="Arial"/>
          <w:sz w:val="18"/>
          <w:szCs w:val="18"/>
        </w:rPr>
      </w:pPr>
      <w:r w:rsidRPr="00FD19D7">
        <w:rPr>
          <w:rFonts w:ascii="Arial" w:hAnsi="Arial" w:cs="Arial"/>
          <w:b/>
          <w:sz w:val="18"/>
          <w:szCs w:val="18"/>
        </w:rPr>
        <w:t>Ms Sally Evans</w:t>
      </w:r>
      <w:r w:rsidRPr="0096562D">
        <w:rPr>
          <w:rFonts w:ascii="Arial" w:hAnsi="Arial" w:cs="Arial"/>
          <w:sz w:val="18"/>
          <w:szCs w:val="18"/>
        </w:rPr>
        <w:t>, Cardiff University, Cardiff (UK) - to Guðmundur Guðmundsson</w:t>
      </w:r>
      <w:r>
        <w:rPr>
          <w:rFonts w:ascii="Arial" w:hAnsi="Arial" w:cs="Arial"/>
          <w:sz w:val="18"/>
          <w:szCs w:val="18"/>
        </w:rPr>
        <w:t xml:space="preserve">, </w:t>
      </w:r>
      <w:r w:rsidRPr="0096562D">
        <w:rPr>
          <w:rFonts w:ascii="Arial" w:hAnsi="Arial" w:cs="Arial"/>
          <w:sz w:val="18"/>
          <w:szCs w:val="18"/>
        </w:rPr>
        <w:t>Icelandic Institute of Natural History</w:t>
      </w:r>
      <w:r>
        <w:rPr>
          <w:rFonts w:ascii="Arial" w:hAnsi="Arial" w:cs="Arial"/>
          <w:sz w:val="18"/>
          <w:szCs w:val="18"/>
        </w:rPr>
        <w:t>, Reykjavik</w:t>
      </w:r>
      <w:r w:rsidRPr="0096562D">
        <w:rPr>
          <w:rFonts w:ascii="Arial" w:hAnsi="Arial" w:cs="Arial"/>
          <w:sz w:val="18"/>
          <w:szCs w:val="18"/>
        </w:rPr>
        <w:t xml:space="preserve"> (IS), </w:t>
      </w:r>
      <w:r w:rsidRPr="00FD19D7">
        <w:rPr>
          <w:rFonts w:ascii="Arial" w:hAnsi="Arial" w:cs="Arial"/>
          <w:b/>
          <w:sz w:val="18"/>
          <w:szCs w:val="18"/>
        </w:rPr>
        <w:t>Identification of cetacean vertebrae in the North Atlantic</w:t>
      </w:r>
      <w:r w:rsidRPr="0096562D">
        <w:rPr>
          <w:rFonts w:ascii="Arial" w:hAnsi="Arial" w:cs="Arial"/>
          <w:sz w:val="18"/>
          <w:szCs w:val="18"/>
        </w:rPr>
        <w:t>, 2017-03-28 to 2017-04-06</w:t>
      </w:r>
    </w:p>
    <w:p w:rsidR="00FD19D7" w:rsidRDefault="00FD19D7" w:rsidP="00F63381">
      <w:pPr>
        <w:pStyle w:val="ListParagraph"/>
        <w:ind w:left="1068"/>
      </w:pPr>
    </w:p>
    <w:p w:rsidR="00F63381" w:rsidRDefault="00075331" w:rsidP="00A43B7A">
      <w:pPr>
        <w:pStyle w:val="ListParagraph"/>
        <w:numPr>
          <w:ilvl w:val="1"/>
          <w:numId w:val="3"/>
        </w:numPr>
        <w:rPr>
          <w:rFonts w:ascii="Arial" w:hAnsi="Arial" w:cs="Arial"/>
          <w:sz w:val="18"/>
          <w:szCs w:val="18"/>
        </w:rPr>
      </w:pPr>
      <w:r w:rsidRPr="00FD19D7">
        <w:rPr>
          <w:rFonts w:ascii="Arial" w:hAnsi="Arial" w:cs="Arial"/>
          <w:b/>
          <w:sz w:val="18"/>
          <w:szCs w:val="18"/>
        </w:rPr>
        <w:t>Dr Dara Fleming-Farrell</w:t>
      </w:r>
      <w:r>
        <w:rPr>
          <w:rFonts w:ascii="Arial" w:hAnsi="Arial" w:cs="Arial"/>
          <w:sz w:val="18"/>
          <w:szCs w:val="18"/>
        </w:rPr>
        <w:t xml:space="preserve">, Trinity College Dublin (IE) - to Natascha Mehler, Deutsches Schiffahrtsmuseum, Bremerhaven (DE), </w:t>
      </w:r>
      <w:r w:rsidRPr="00FD19D7">
        <w:rPr>
          <w:rFonts w:ascii="Arial" w:hAnsi="Arial" w:cs="Arial"/>
          <w:b/>
          <w:sz w:val="18"/>
          <w:szCs w:val="18"/>
        </w:rPr>
        <w:t>The Archaeology of Fisheries Settlement Dynamics: Research and Communication Strategies</w:t>
      </w:r>
      <w:r>
        <w:rPr>
          <w:rFonts w:ascii="Arial" w:hAnsi="Arial" w:cs="Arial"/>
          <w:sz w:val="18"/>
          <w:szCs w:val="18"/>
        </w:rPr>
        <w:t xml:space="preserve">, </w:t>
      </w:r>
      <w:r w:rsidRPr="00075331">
        <w:rPr>
          <w:rFonts w:ascii="Arial" w:hAnsi="Arial" w:cs="Arial"/>
          <w:sz w:val="18"/>
          <w:szCs w:val="18"/>
        </w:rPr>
        <w:t>2017-04-02 to 2017-04-08</w:t>
      </w:r>
    </w:p>
    <w:p w:rsidR="0096562D" w:rsidRDefault="0096562D" w:rsidP="00F63381">
      <w:pPr>
        <w:pStyle w:val="ListParagraph"/>
        <w:ind w:left="1068"/>
        <w:rPr>
          <w:rFonts w:ascii="Arial" w:hAnsi="Arial" w:cs="Arial"/>
          <w:sz w:val="18"/>
          <w:szCs w:val="18"/>
        </w:rPr>
      </w:pPr>
    </w:p>
    <w:p w:rsidR="00FD19D7" w:rsidRDefault="00FD19D7" w:rsidP="00A43B7A">
      <w:pPr>
        <w:pStyle w:val="ListParagraph"/>
        <w:numPr>
          <w:ilvl w:val="1"/>
          <w:numId w:val="3"/>
        </w:numPr>
        <w:rPr>
          <w:rFonts w:ascii="Arial" w:hAnsi="Arial" w:cs="Arial"/>
          <w:sz w:val="18"/>
          <w:szCs w:val="18"/>
        </w:rPr>
      </w:pPr>
      <w:r w:rsidRPr="00FD19D7">
        <w:rPr>
          <w:rFonts w:ascii="Arial" w:hAnsi="Arial" w:cs="Arial"/>
          <w:b/>
          <w:sz w:val="18"/>
          <w:szCs w:val="18"/>
        </w:rPr>
        <w:t>Dr. Dimitra Mylona</w:t>
      </w:r>
      <w:r w:rsidRPr="00F63381">
        <w:rPr>
          <w:rFonts w:ascii="Arial" w:hAnsi="Arial" w:cs="Arial"/>
          <w:sz w:val="18"/>
          <w:szCs w:val="18"/>
        </w:rPr>
        <w:t xml:space="preserve">, Institute for Aegean Prehistory, IERAPETRA (EL) - to Vedat Onar, Osteoarchaeological Practice and Research Center Istanbul University, Istanbul (TR), </w:t>
      </w:r>
      <w:r w:rsidRPr="00FD19D7">
        <w:rPr>
          <w:rFonts w:ascii="Arial" w:hAnsi="Arial" w:cs="Arial"/>
          <w:b/>
          <w:sz w:val="18"/>
          <w:szCs w:val="18"/>
        </w:rPr>
        <w:t>Between the Black Sea and the Aegean. Insights on marine food supply of Byzantine Constantinople based on the malacofaunal remains from Yenikapi harbor</w:t>
      </w:r>
      <w:r w:rsidRPr="00F63381">
        <w:rPr>
          <w:rFonts w:ascii="Arial" w:hAnsi="Arial" w:cs="Arial"/>
          <w:sz w:val="18"/>
          <w:szCs w:val="18"/>
        </w:rPr>
        <w:t>, 2017-04-18 to 2017-04-27</w:t>
      </w:r>
    </w:p>
    <w:p w:rsidR="0096562D" w:rsidRDefault="0096562D" w:rsidP="00F63381">
      <w:pPr>
        <w:pStyle w:val="ListParagraph"/>
        <w:ind w:left="1068"/>
        <w:rPr>
          <w:rFonts w:ascii="Arial" w:hAnsi="Arial" w:cs="Arial"/>
          <w:sz w:val="18"/>
          <w:szCs w:val="18"/>
        </w:rPr>
      </w:pPr>
    </w:p>
    <w:p w:rsidR="00F63381" w:rsidRDefault="00F63381" w:rsidP="00A43B7A">
      <w:pPr>
        <w:pStyle w:val="ListParagraph"/>
        <w:numPr>
          <w:ilvl w:val="1"/>
          <w:numId w:val="3"/>
        </w:numPr>
        <w:rPr>
          <w:rFonts w:ascii="Arial" w:hAnsi="Arial" w:cs="Arial"/>
          <w:sz w:val="18"/>
          <w:szCs w:val="18"/>
        </w:rPr>
      </w:pPr>
      <w:r w:rsidRPr="00FD19D7">
        <w:rPr>
          <w:rFonts w:ascii="Arial" w:hAnsi="Arial" w:cs="Arial"/>
          <w:b/>
          <w:sz w:val="18"/>
          <w:szCs w:val="18"/>
        </w:rPr>
        <w:t>Dr Lembi Lõugas</w:t>
      </w:r>
      <w:r>
        <w:rPr>
          <w:rFonts w:ascii="Arial" w:hAnsi="Arial" w:cs="Arial"/>
          <w:sz w:val="18"/>
          <w:szCs w:val="18"/>
        </w:rPr>
        <w:t xml:space="preserve">, Archaeological Research Collection, Tallinn University (EE) - to Ilze Reinfelde, Museum of the History of Riga and Navigation, Riga (LV), </w:t>
      </w:r>
      <w:r w:rsidRPr="00FD19D7">
        <w:rPr>
          <w:rFonts w:ascii="Arial" w:hAnsi="Arial" w:cs="Arial"/>
          <w:b/>
          <w:sz w:val="18"/>
          <w:szCs w:val="18"/>
        </w:rPr>
        <w:t>Deliveries from the Ocean</w:t>
      </w:r>
      <w:r w:rsidRPr="00F63381">
        <w:rPr>
          <w:rFonts w:ascii="Arial" w:hAnsi="Arial" w:cs="Arial"/>
          <w:sz w:val="18"/>
          <w:szCs w:val="18"/>
        </w:rPr>
        <w:t>, 2017-04-16 to 2017-04-30</w:t>
      </w:r>
    </w:p>
    <w:p w:rsidR="0096562D" w:rsidRDefault="0096562D" w:rsidP="0096562D">
      <w:pPr>
        <w:pStyle w:val="ListParagraph"/>
        <w:ind w:left="1068"/>
        <w:rPr>
          <w:rFonts w:ascii="Arial" w:hAnsi="Arial" w:cs="Arial"/>
          <w:sz w:val="18"/>
          <w:szCs w:val="18"/>
        </w:rPr>
      </w:pPr>
    </w:p>
    <w:p w:rsidR="00075331" w:rsidRPr="005447B6" w:rsidRDefault="00075331" w:rsidP="009F1598">
      <w:pPr>
        <w:pStyle w:val="ListParagraph"/>
        <w:ind w:left="1068"/>
        <w:rPr>
          <w:color w:val="2F5496" w:themeColor="accent1" w:themeShade="BF"/>
        </w:rPr>
      </w:pPr>
    </w:p>
    <w:p w:rsidR="00170739" w:rsidRDefault="00170739" w:rsidP="00A43B7A">
      <w:pPr>
        <w:pStyle w:val="ListParagraph"/>
        <w:numPr>
          <w:ilvl w:val="0"/>
          <w:numId w:val="3"/>
        </w:numPr>
      </w:pPr>
      <w:r>
        <w:t>Outputs</w:t>
      </w:r>
    </w:p>
    <w:p w:rsidR="00170739" w:rsidRDefault="00170739" w:rsidP="00A43B7A">
      <w:pPr>
        <w:pStyle w:val="ListParagraph"/>
        <w:numPr>
          <w:ilvl w:val="1"/>
          <w:numId w:val="3"/>
        </w:numPr>
      </w:pPr>
      <w:r>
        <w:t>Scientific</w:t>
      </w:r>
      <w:r w:rsidR="005D7921">
        <w:t xml:space="preserve"> </w:t>
      </w:r>
      <w:r>
        <w:t>publications: books, sci. papers, reports (full</w:t>
      </w:r>
      <w:r w:rsidR="005D7921">
        <w:t xml:space="preserve"> </w:t>
      </w:r>
      <w:r>
        <w:t>reference)</w:t>
      </w:r>
    </w:p>
    <w:p w:rsidR="00CE3646" w:rsidRDefault="00CE3646" w:rsidP="00CE3646">
      <w:pPr>
        <w:ind w:left="1418" w:hanging="284"/>
      </w:pPr>
      <w:r>
        <w:t>(1) June 2016 publication: Barrett, J. H. &amp; Orton, D. C. (eds). "</w:t>
      </w:r>
      <w:r w:rsidRPr="003C7120">
        <w:rPr>
          <w:b/>
        </w:rPr>
        <w:t>Cod and Herring. The Archaeology &amp; History of Medieval Sea Fishing</w:t>
      </w:r>
      <w:r>
        <w:t>" Oxbow Books.</w:t>
      </w:r>
    </w:p>
    <w:p w:rsidR="00CE3646" w:rsidRDefault="00CE3646" w:rsidP="00CE3646">
      <w:pPr>
        <w:ind w:left="1418" w:hanging="284"/>
      </w:pPr>
      <w:r>
        <w:t>(2) + papers in this book</w:t>
      </w:r>
    </w:p>
    <w:p w:rsidR="00A25352" w:rsidRPr="00A25352" w:rsidRDefault="00A25352" w:rsidP="00A25352">
      <w:pPr>
        <w:ind w:left="1418" w:hanging="284"/>
      </w:pPr>
      <w:r w:rsidRPr="00A25352">
        <w:rPr>
          <w:b/>
          <w:bCs/>
        </w:rPr>
        <w:t>Forthcoming papers</w:t>
      </w:r>
    </w:p>
    <w:p w:rsidR="00000000" w:rsidRPr="00A25352" w:rsidRDefault="00A25352" w:rsidP="00A25352">
      <w:pPr>
        <w:ind w:left="1134"/>
      </w:pPr>
      <w:r>
        <w:rPr>
          <w:bCs/>
        </w:rPr>
        <w:t>(1</w:t>
      </w:r>
      <w:r w:rsidRPr="00A25352">
        <w:rPr>
          <w:bCs/>
        </w:rPr>
        <w:t xml:space="preserve">) </w:t>
      </w:r>
      <w:r w:rsidR="00FC403C" w:rsidRPr="00A25352">
        <w:rPr>
          <w:bCs/>
        </w:rPr>
        <w:t xml:space="preserve">Proceedings of the </w:t>
      </w:r>
      <w:r w:rsidR="00FC403C" w:rsidRPr="00A25352">
        <w:rPr>
          <w:bCs/>
          <w:lang w:val="en-US"/>
        </w:rPr>
        <w:t>Fish Remains Working Group</w:t>
      </w:r>
      <w:r w:rsidR="00FC403C" w:rsidRPr="00A25352">
        <w:t xml:space="preserve"> meeting</w:t>
      </w:r>
      <w:r w:rsidR="00FC403C" w:rsidRPr="00A25352">
        <w:rPr>
          <w:lang w:val="en-US"/>
        </w:rPr>
        <w:t xml:space="preserve">, International Council for </w:t>
      </w:r>
      <w:proofErr w:type="spellStart"/>
      <w:r w:rsidR="00FC403C" w:rsidRPr="00A25352">
        <w:rPr>
          <w:lang w:val="en-US"/>
        </w:rPr>
        <w:t>Archaeozoology</w:t>
      </w:r>
      <w:proofErr w:type="spellEnd"/>
      <w:r w:rsidR="00FC403C" w:rsidRPr="00A25352">
        <w:rPr>
          <w:lang w:val="en-US"/>
        </w:rPr>
        <w:t>, Lisbon, 28-30 September, 2015</w:t>
      </w:r>
      <w:r w:rsidR="00FC403C" w:rsidRPr="00A25352">
        <w:t xml:space="preserve"> (there was a special session of WG2)</w:t>
      </w:r>
    </w:p>
    <w:p w:rsidR="00000000" w:rsidRPr="00A25352" w:rsidRDefault="00FC403C" w:rsidP="00A25352">
      <w:pPr>
        <w:numPr>
          <w:ilvl w:val="1"/>
          <w:numId w:val="4"/>
        </w:numPr>
        <w:tabs>
          <w:tab w:val="clear" w:pos="1440"/>
        </w:tabs>
        <w:ind w:left="1134" w:hanging="141"/>
      </w:pPr>
      <w:r w:rsidRPr="00A25352">
        <w:lastRenderedPageBreak/>
        <w:t>Jennifer Harland, </w:t>
      </w:r>
      <w:r w:rsidRPr="00A25352">
        <w:rPr>
          <w:i/>
          <w:iCs/>
        </w:rPr>
        <w:t xml:space="preserve">From </w:t>
      </w:r>
      <w:r w:rsidRPr="00A25352">
        <w:rPr>
          <w:i/>
          <w:iCs/>
        </w:rPr>
        <w:t>the fish middens to the herring: medieval and post-medieval fishing in the Northern Isles of Scotland</w:t>
      </w:r>
    </w:p>
    <w:p w:rsidR="00A25352" w:rsidRPr="00A25352" w:rsidRDefault="00FC403C" w:rsidP="00A25352">
      <w:pPr>
        <w:numPr>
          <w:ilvl w:val="1"/>
          <w:numId w:val="4"/>
        </w:numPr>
        <w:tabs>
          <w:tab w:val="clear" w:pos="1440"/>
        </w:tabs>
        <w:ind w:left="1134" w:hanging="141"/>
      </w:pPr>
      <w:r w:rsidRPr="00A25352">
        <w:t>Lembi Lõugas, </w:t>
      </w:r>
      <w:r w:rsidR="00A25352">
        <w:rPr>
          <w:i/>
          <w:iCs/>
        </w:rPr>
        <w:t xml:space="preserve">Long and short </w:t>
      </w:r>
      <w:r w:rsidRPr="00A25352">
        <w:rPr>
          <w:i/>
          <w:iCs/>
        </w:rPr>
        <w:t>distance fish trade in the eastern Baltic region during the Middle Ages</w:t>
      </w:r>
    </w:p>
    <w:p w:rsidR="00000000" w:rsidRPr="00A25352" w:rsidRDefault="00FC403C" w:rsidP="00A25352">
      <w:pPr>
        <w:numPr>
          <w:ilvl w:val="1"/>
          <w:numId w:val="4"/>
        </w:numPr>
        <w:tabs>
          <w:tab w:val="clear" w:pos="1440"/>
        </w:tabs>
        <w:ind w:left="1134" w:hanging="141"/>
      </w:pPr>
      <w:r w:rsidRPr="00A25352">
        <w:t>Daniel Makowiecki and Mirosława Zabilska-Kune</w:t>
      </w:r>
      <w:r w:rsidRPr="00A25352">
        <w:t xml:space="preserve">k, </w:t>
      </w:r>
      <w:r w:rsidRPr="00A25352">
        <w:rPr>
          <w:i/>
          <w:iCs/>
        </w:rPr>
        <w:t>Diversity and changes in fish and fishing in medieval Kołobrzeg, Poland</w:t>
      </w:r>
    </w:p>
    <w:p w:rsidR="00A25352" w:rsidRDefault="00A25352" w:rsidP="00A25352">
      <w:pPr>
        <w:numPr>
          <w:ilvl w:val="1"/>
          <w:numId w:val="4"/>
        </w:numPr>
        <w:tabs>
          <w:tab w:val="clear" w:pos="1440"/>
        </w:tabs>
        <w:ind w:left="1134" w:hanging="141"/>
      </w:pPr>
      <w:r w:rsidRPr="00A25352">
        <w:t>Eufrasia Roselló </w:t>
      </w:r>
      <w:r w:rsidRPr="00A25352">
        <w:rPr>
          <w:i/>
          <w:iCs/>
        </w:rPr>
        <w:t>et al</w:t>
      </w:r>
      <w:r w:rsidRPr="00A25352">
        <w:t>.,​ </w:t>
      </w:r>
      <w:r w:rsidRPr="00A25352">
        <w:rPr>
          <w:i/>
          <w:iCs/>
        </w:rPr>
        <w:t>The medieval fisheries of Galicia (northwestern Iberian Peninsula): a preliminary archaeozoological overview</w:t>
      </w:r>
    </w:p>
    <w:p w:rsidR="00170739" w:rsidRDefault="00170739" w:rsidP="00A43B7A">
      <w:pPr>
        <w:pStyle w:val="ListParagraph"/>
        <w:numPr>
          <w:ilvl w:val="1"/>
          <w:numId w:val="3"/>
        </w:numPr>
      </w:pPr>
      <w:r>
        <w:t>Participation in stakeholder</w:t>
      </w:r>
      <w:r w:rsidR="005D7921">
        <w:t xml:space="preserve"> </w:t>
      </w:r>
      <w:r>
        <w:t>committees (participant</w:t>
      </w:r>
      <w:r w:rsidR="005D7921">
        <w:t xml:space="preserve"> </w:t>
      </w:r>
      <w:r>
        <w:t>name, stakeholder</w:t>
      </w:r>
      <w:r w:rsidR="005D7921">
        <w:t xml:space="preserve"> </w:t>
      </w:r>
      <w:r>
        <w:t>committee)</w:t>
      </w:r>
      <w:r w:rsidR="00313C63">
        <w:t>, WG2 leaders</w:t>
      </w:r>
    </w:p>
    <w:p w:rsidR="00170739" w:rsidRDefault="00170739" w:rsidP="00A43B7A">
      <w:pPr>
        <w:pStyle w:val="ListParagraph"/>
        <w:numPr>
          <w:ilvl w:val="1"/>
          <w:numId w:val="3"/>
        </w:numPr>
      </w:pPr>
      <w:r>
        <w:t>Media coverage (TV, radiointerviews, popularsci. articles in newspapers/journals; name and details on TV/raadio inteview</w:t>
      </w:r>
      <w:r w:rsidR="005D7921">
        <w:t xml:space="preserve"> </w:t>
      </w:r>
      <w:r>
        <w:t>or</w:t>
      </w:r>
      <w:r w:rsidR="005D7921">
        <w:t xml:space="preserve"> </w:t>
      </w:r>
      <w:r>
        <w:t>article</w:t>
      </w:r>
      <w:r w:rsidR="005D7921">
        <w:t xml:space="preserve"> </w:t>
      </w:r>
      <w:r>
        <w:t>title and journal</w:t>
      </w:r>
      <w:r w:rsidR="005D7921">
        <w:t xml:space="preserve"> </w:t>
      </w:r>
      <w:r>
        <w:t>name)</w:t>
      </w:r>
    </w:p>
    <w:p w:rsidR="00170739" w:rsidRDefault="00170739" w:rsidP="00A43B7A">
      <w:pPr>
        <w:pStyle w:val="ListParagraph"/>
        <w:numPr>
          <w:ilvl w:val="1"/>
          <w:numId w:val="3"/>
        </w:numPr>
      </w:pPr>
      <w:r>
        <w:t>Scientific</w:t>
      </w:r>
      <w:r w:rsidR="00313C63">
        <w:t xml:space="preserve"> </w:t>
      </w:r>
      <w:r>
        <w:t>presentations at conferences (particiap</w:t>
      </w:r>
      <w:r w:rsidR="005D7921">
        <w:t>a</w:t>
      </w:r>
      <w:r>
        <w:t>nt</w:t>
      </w:r>
      <w:r w:rsidR="005D7921">
        <w:t xml:space="preserve"> </w:t>
      </w:r>
      <w:r>
        <w:t>name, presentation</w:t>
      </w:r>
      <w:r w:rsidR="005D7921">
        <w:t xml:space="preserve"> </w:t>
      </w:r>
      <w:r>
        <w:t>title, conference</w:t>
      </w:r>
      <w:r w:rsidR="005D7921">
        <w:t xml:space="preserve"> </w:t>
      </w:r>
      <w:r>
        <w:t>information)</w:t>
      </w:r>
    </w:p>
    <w:p w:rsidR="00A43B7A" w:rsidRPr="00A25352" w:rsidRDefault="00A43B7A" w:rsidP="00A43B7A">
      <w:pPr>
        <w:pStyle w:val="ListParagraph"/>
        <w:ind w:left="1068"/>
        <w:rPr>
          <w:rFonts w:ascii="Calibri" w:hAnsi="Calibri"/>
          <w:shd w:val="clear" w:color="auto" w:fill="FFFFFF"/>
        </w:rPr>
      </w:pPr>
    </w:p>
    <w:p w:rsidR="00000000" w:rsidRPr="00A25352" w:rsidRDefault="00A25352" w:rsidP="00A25352">
      <w:pPr>
        <w:pStyle w:val="ListParagraph"/>
        <w:rPr>
          <w:rFonts w:ascii="Calibri" w:hAnsi="Calibri"/>
          <w:shd w:val="clear" w:color="auto" w:fill="FFFFFF"/>
        </w:rPr>
      </w:pPr>
      <w:r w:rsidRPr="00A25352">
        <w:rPr>
          <w:rFonts w:ascii="Calibri" w:hAnsi="Calibri"/>
          <w:bCs/>
          <w:shd w:val="clear" w:color="auto" w:fill="FFFFFF"/>
        </w:rPr>
        <w:t>(1)</w:t>
      </w:r>
      <w:r>
        <w:rPr>
          <w:rFonts w:ascii="Calibri" w:hAnsi="Calibri"/>
          <w:b/>
          <w:bCs/>
          <w:shd w:val="clear" w:color="auto" w:fill="FFFFFF"/>
        </w:rPr>
        <w:t xml:space="preserve"> </w:t>
      </w:r>
      <w:r w:rsidR="00FC403C" w:rsidRPr="00A25352">
        <w:rPr>
          <w:rFonts w:ascii="Calibri" w:hAnsi="Calibri"/>
          <w:b/>
          <w:bCs/>
          <w:shd w:val="clear" w:color="auto" w:fill="FFFFFF"/>
        </w:rPr>
        <w:t xml:space="preserve">Stephen </w:t>
      </w:r>
      <w:r w:rsidR="00FC403C" w:rsidRPr="00A25352">
        <w:rPr>
          <w:rFonts w:ascii="Calibri" w:hAnsi="Calibri"/>
          <w:b/>
          <w:bCs/>
          <w:shd w:val="clear" w:color="auto" w:fill="FFFFFF"/>
        </w:rPr>
        <w:t>Wickler</w:t>
      </w:r>
      <w:r w:rsidR="00FC403C" w:rsidRPr="00A25352">
        <w:rPr>
          <w:rFonts w:ascii="Calibri" w:hAnsi="Calibri"/>
          <w:shd w:val="clear" w:color="auto" w:fill="FFFFFF"/>
        </w:rPr>
        <w:t>: “Exploring the role of bayscapes and maritime trade for the coastal economy of Arctic Norway since the medieval period“ at the OPP Conference “Bayscapes: Shaping the Coastal Interface”, Trinity College, Dublin, May 23-25, 2016.</w:t>
      </w:r>
    </w:p>
    <w:p w:rsidR="00000000" w:rsidRPr="00A25352" w:rsidRDefault="00A25352" w:rsidP="00A25352">
      <w:pPr>
        <w:pStyle w:val="ListParagraph"/>
        <w:rPr>
          <w:rFonts w:ascii="Calibri" w:hAnsi="Calibri"/>
          <w:shd w:val="clear" w:color="auto" w:fill="FFFFFF"/>
        </w:rPr>
      </w:pPr>
      <w:r w:rsidRPr="00A25352">
        <w:rPr>
          <w:rFonts w:ascii="Calibri" w:hAnsi="Calibri"/>
          <w:bCs/>
          <w:shd w:val="clear" w:color="auto" w:fill="FFFFFF"/>
        </w:rPr>
        <w:t xml:space="preserve">(2) </w:t>
      </w:r>
      <w:r w:rsidR="00FC403C" w:rsidRPr="00A25352">
        <w:rPr>
          <w:rFonts w:ascii="Calibri" w:hAnsi="Calibri"/>
          <w:b/>
          <w:bCs/>
          <w:shd w:val="clear" w:color="auto" w:fill="FFFFFF"/>
        </w:rPr>
        <w:t>Ruthy Gertwagen</w:t>
      </w:r>
      <w:r w:rsidR="00FC403C" w:rsidRPr="00A25352">
        <w:rPr>
          <w:rFonts w:ascii="Calibri" w:hAnsi="Calibri"/>
          <w:shd w:val="clear" w:color="auto" w:fill="FFFFFF"/>
        </w:rPr>
        <w:t xml:space="preserve">: </w:t>
      </w:r>
      <w:r w:rsidR="00FC403C" w:rsidRPr="00A25352">
        <w:rPr>
          <w:rFonts w:ascii="Calibri" w:hAnsi="Calibri"/>
          <w:shd w:val="clear" w:color="auto" w:fill="FFFFFF"/>
          <w:lang w:val="en-US"/>
        </w:rPr>
        <w:t>“</w:t>
      </w:r>
      <w:r w:rsidR="00FC403C" w:rsidRPr="00A25352">
        <w:rPr>
          <w:rFonts w:ascii="Calibri" w:hAnsi="Calibri"/>
          <w:shd w:val="clear" w:color="auto" w:fill="FFFFFF"/>
          <w:lang w:val="en-US"/>
        </w:rPr>
        <w:t xml:space="preserve">The importance of interdisciplinary research for the study of the use of marine living resources along the Israeli coast line from the 6th to the 13th century” </w:t>
      </w:r>
      <w:r w:rsidR="00FC403C" w:rsidRPr="00A25352">
        <w:rPr>
          <w:rFonts w:ascii="Calibri" w:hAnsi="Calibri"/>
          <w:shd w:val="clear" w:color="auto" w:fill="FFFFFF"/>
        </w:rPr>
        <w:t xml:space="preserve">at the conference “Historical ecology of semi-enclosed basins: past, present and future of seas </w:t>
      </w:r>
      <w:r w:rsidR="00FC403C" w:rsidRPr="00A25352">
        <w:rPr>
          <w:rFonts w:ascii="Calibri" w:hAnsi="Calibri"/>
          <w:shd w:val="clear" w:color="auto" w:fill="FFFFFF"/>
        </w:rPr>
        <w:t>at risk”, Chioggia, Italy, October 2016.</w:t>
      </w:r>
    </w:p>
    <w:p w:rsidR="00A25352" w:rsidRPr="00A25352" w:rsidRDefault="00A25352" w:rsidP="00A25352">
      <w:pPr>
        <w:pStyle w:val="ListParagraph"/>
        <w:rPr>
          <w:rFonts w:ascii="Calibri" w:hAnsi="Calibri"/>
          <w:shd w:val="clear" w:color="auto" w:fill="FFFFFF"/>
        </w:rPr>
      </w:pPr>
      <w:r w:rsidRPr="00A25352">
        <w:rPr>
          <w:rFonts w:ascii="Calibri" w:hAnsi="Calibri"/>
          <w:bCs/>
          <w:shd w:val="clear" w:color="auto" w:fill="FFFFFF"/>
        </w:rPr>
        <w:t>(3)</w:t>
      </w:r>
      <w:r>
        <w:rPr>
          <w:rFonts w:ascii="Calibri" w:hAnsi="Calibri"/>
          <w:b/>
          <w:bCs/>
          <w:shd w:val="clear" w:color="auto" w:fill="FFFFFF"/>
        </w:rPr>
        <w:t xml:space="preserve"> </w:t>
      </w:r>
      <w:r w:rsidR="00FC403C" w:rsidRPr="00A25352">
        <w:rPr>
          <w:rFonts w:ascii="Calibri" w:hAnsi="Calibri"/>
          <w:b/>
          <w:bCs/>
          <w:shd w:val="clear" w:color="auto" w:fill="FFFFFF"/>
        </w:rPr>
        <w:t>Sonia Gabriel</w:t>
      </w:r>
      <w:r w:rsidR="00FC403C" w:rsidRPr="00A25352">
        <w:rPr>
          <w:rFonts w:ascii="Calibri" w:hAnsi="Calibri"/>
          <w:shd w:val="clear" w:color="auto" w:fill="FFFFFF"/>
        </w:rPr>
        <w:t xml:space="preserve">: </w:t>
      </w:r>
      <w:r w:rsidR="00FC403C" w:rsidRPr="00A25352">
        <w:rPr>
          <w:rFonts w:ascii="Calibri" w:hAnsi="Calibri"/>
          <w:shd w:val="clear" w:color="auto" w:fill="FFFFFF"/>
          <w:lang w:val="en-US"/>
        </w:rPr>
        <w:t xml:space="preserve">“Fishing along the western shores of the Atlantic: Archaeological fish assemblages from Iberia and North Africa” </w:t>
      </w:r>
      <w:r w:rsidR="00FC403C" w:rsidRPr="00A25352">
        <w:rPr>
          <w:rFonts w:ascii="Calibri" w:hAnsi="Calibri"/>
          <w:shd w:val="clear" w:color="auto" w:fill="FFFFFF"/>
        </w:rPr>
        <w:t>at the conference “Historical ecology of semi-enclosed basins: past, present and futur</w:t>
      </w:r>
      <w:r w:rsidR="00FC403C" w:rsidRPr="00A25352">
        <w:rPr>
          <w:rFonts w:ascii="Calibri" w:hAnsi="Calibri"/>
          <w:shd w:val="clear" w:color="auto" w:fill="FFFFFF"/>
        </w:rPr>
        <w:t>e of seas at risk”, Chioggia, Italy, October 2016.</w:t>
      </w:r>
    </w:p>
    <w:p w:rsidR="00A43B7A" w:rsidRPr="00A25352" w:rsidRDefault="00A43B7A" w:rsidP="00A43B7A">
      <w:pPr>
        <w:pStyle w:val="ListParagraph"/>
        <w:ind w:left="1068"/>
      </w:pPr>
    </w:p>
    <w:p w:rsidR="00170739" w:rsidRDefault="00313C63" w:rsidP="00A43B7A">
      <w:pPr>
        <w:pStyle w:val="ListParagraph"/>
        <w:numPr>
          <w:ilvl w:val="1"/>
          <w:numId w:val="3"/>
        </w:numPr>
      </w:pPr>
      <w:r>
        <w:t xml:space="preserve">Participation collaborations </w:t>
      </w:r>
      <w:r w:rsidR="00170739">
        <w:t>(title, duration, funding</w:t>
      </w:r>
      <w:r w:rsidR="005D7921">
        <w:t xml:space="preserve"> </w:t>
      </w:r>
      <w:r w:rsidR="00170739">
        <w:t>amount and source)</w:t>
      </w:r>
    </w:p>
    <w:p w:rsidR="00FD19D7" w:rsidRPr="003C7120" w:rsidRDefault="00FD19D7" w:rsidP="005447B6">
      <w:pPr>
        <w:pStyle w:val="ListParagraph"/>
        <w:ind w:left="1068"/>
      </w:pPr>
    </w:p>
    <w:p w:rsidR="005447B6" w:rsidRPr="003C7120" w:rsidRDefault="00FD19D7" w:rsidP="00A43B7A">
      <w:pPr>
        <w:pStyle w:val="ListParagraph"/>
        <w:numPr>
          <w:ilvl w:val="3"/>
          <w:numId w:val="3"/>
        </w:numPr>
      </w:pPr>
      <w:r w:rsidRPr="003C7120">
        <w:rPr>
          <w:b/>
        </w:rPr>
        <w:t>Dimitra Mylona</w:t>
      </w:r>
      <w:r w:rsidRPr="003C7120">
        <w:t>:</w:t>
      </w:r>
      <w:r w:rsidRPr="003C7120">
        <w:rPr>
          <w:sz w:val="18"/>
          <w:szCs w:val="18"/>
        </w:rPr>
        <w:t xml:space="preserve"> </w:t>
      </w:r>
      <w:r w:rsidR="005447B6" w:rsidRPr="003C7120">
        <w:t xml:space="preserve">Participation in a multi-country consortium and </w:t>
      </w:r>
      <w:r w:rsidR="003C7120">
        <w:t>application of</w:t>
      </w:r>
      <w:r w:rsidR="005447B6" w:rsidRPr="003C7120">
        <w:t xml:space="preserve"> funding for a HORIZON 2020 project on Coastal Heritage. This was initiated through contacts forged with OPP member</w:t>
      </w:r>
      <w:r w:rsidR="00A43B7A" w:rsidRPr="003C7120">
        <w:t>s</w:t>
      </w:r>
      <w:r w:rsidR="005447B6" w:rsidRPr="003C7120">
        <w:t>.</w:t>
      </w:r>
    </w:p>
    <w:p w:rsidR="005447B6" w:rsidRPr="003C7120" w:rsidRDefault="005447B6" w:rsidP="005447B6">
      <w:pPr>
        <w:pStyle w:val="ListParagraph"/>
        <w:ind w:left="1068"/>
      </w:pPr>
    </w:p>
    <w:sectPr w:rsidR="005447B6" w:rsidRPr="003C7120" w:rsidSect="00697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615DF"/>
    <w:multiLevelType w:val="hybridMultilevel"/>
    <w:tmpl w:val="92765720"/>
    <w:lvl w:ilvl="0" w:tplc="F22AB5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8AD4C2">
      <w:start w:val="79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44C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3C31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8602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C446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6C2A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F0FC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0ECC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F144418"/>
    <w:multiLevelType w:val="hybridMultilevel"/>
    <w:tmpl w:val="31002126"/>
    <w:lvl w:ilvl="0" w:tplc="332ED5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E64F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2C5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C219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6A39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104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16CB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84F8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4EF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2DA352C"/>
    <w:multiLevelType w:val="hybridMultilevel"/>
    <w:tmpl w:val="5E2C15E4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A342FD"/>
    <w:multiLevelType w:val="multilevel"/>
    <w:tmpl w:val="042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7ED86794"/>
    <w:multiLevelType w:val="hybridMultilevel"/>
    <w:tmpl w:val="8DF0D5B8"/>
    <w:lvl w:ilvl="0" w:tplc="95CC315C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HAnsi" w:hAnsiTheme="minorHAnsi" w:cstheme="minorBidi"/>
      </w:rPr>
    </w:lvl>
    <w:lvl w:ilvl="1" w:tplc="04250019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170739"/>
    <w:rsid w:val="00006787"/>
    <w:rsid w:val="0002006D"/>
    <w:rsid w:val="00071E5B"/>
    <w:rsid w:val="00075331"/>
    <w:rsid w:val="000D6A3C"/>
    <w:rsid w:val="00170739"/>
    <w:rsid w:val="001B1F36"/>
    <w:rsid w:val="00227B62"/>
    <w:rsid w:val="002435FD"/>
    <w:rsid w:val="00292302"/>
    <w:rsid w:val="002A5580"/>
    <w:rsid w:val="00313C63"/>
    <w:rsid w:val="003C7120"/>
    <w:rsid w:val="004303F1"/>
    <w:rsid w:val="0043127E"/>
    <w:rsid w:val="005447B6"/>
    <w:rsid w:val="005D7921"/>
    <w:rsid w:val="0068609F"/>
    <w:rsid w:val="006976DF"/>
    <w:rsid w:val="0070681D"/>
    <w:rsid w:val="00891FC3"/>
    <w:rsid w:val="0094638B"/>
    <w:rsid w:val="0096562D"/>
    <w:rsid w:val="009A5B8D"/>
    <w:rsid w:val="009C0070"/>
    <w:rsid w:val="009F1598"/>
    <w:rsid w:val="00A25352"/>
    <w:rsid w:val="00A27C5B"/>
    <w:rsid w:val="00A43B7A"/>
    <w:rsid w:val="00AE1D37"/>
    <w:rsid w:val="00CE3646"/>
    <w:rsid w:val="00D77B9A"/>
    <w:rsid w:val="00E0099A"/>
    <w:rsid w:val="00E57784"/>
    <w:rsid w:val="00F331CB"/>
    <w:rsid w:val="00F44601"/>
    <w:rsid w:val="00F546F9"/>
    <w:rsid w:val="00F63381"/>
    <w:rsid w:val="00FC403C"/>
    <w:rsid w:val="00FD19D7"/>
    <w:rsid w:val="00FD4497"/>
    <w:rsid w:val="00FE4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6D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07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47B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77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5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7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7665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41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699</Words>
  <Characters>4058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 Ojaveer</dc:creator>
  <cp:lastModifiedBy>Lembi</cp:lastModifiedBy>
  <cp:revision>17</cp:revision>
  <dcterms:created xsi:type="dcterms:W3CDTF">2017-05-05T07:42:00Z</dcterms:created>
  <dcterms:modified xsi:type="dcterms:W3CDTF">2017-05-30T07:48:00Z</dcterms:modified>
</cp:coreProperties>
</file>